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Аудит персонала</w:t>
            </w:r>
          </w:p>
          <w:p>
            <w:pPr>
              <w:jc w:val="center"/>
              <w:spacing w:after="0" w:line="240" w:lineRule="auto"/>
              <w:rPr>
                <w:sz w:val="32"/>
                <w:szCs w:val="32"/>
              </w:rPr>
            </w:pPr>
            <w:r>
              <w:rPr>
                <w:rFonts w:ascii="Times New Roman" w:hAnsi="Times New Roman" w:cs="Times New Roman"/>
                <w:color w:val="#000000"/>
                <w:sz w:val="32"/>
                <w:szCs w:val="32"/>
              </w:rPr>
              <w:t> К.М.03.08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«Аудит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К.М.03.08 «Аудит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«Аудит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К.М.03.08 «Аудит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Кадровый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193.4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Предметное поле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Цели, функции и задачи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Основные методы изучения вопросов кадровой политики. Кадровые процессы и кадровые отношения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задачи и направления аудита персонала.  Кадровый консалтинг и кадровый аудит организации: терминология, предметная область</w:t>
            </w:r>
          </w:p>
          <w:p>
            <w:pPr>
              <w:jc w:val="both"/>
              <w:spacing w:after="0" w:line="240" w:lineRule="auto"/>
              <w:rPr>
                <w:sz w:val="24"/>
                <w:szCs w:val="24"/>
              </w:rPr>
            </w:pPr>
            <w:r>
              <w:rPr>
                <w:rFonts w:ascii="Times New Roman" w:hAnsi="Times New Roman" w:cs="Times New Roman"/>
                <w:color w:val="#000000"/>
                <w:sz w:val="24"/>
                <w:szCs w:val="24"/>
              </w:rPr>
              <w:t> Направления кадрового консалтинга и кадрового аудита: методология и основные методы Нормативная база проведения аудита.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Рабочие документы социально-экономического аудита</w:t>
            </w:r>
          </w:p>
          <w:p>
            <w:pPr>
              <w:jc w:val="both"/>
              <w:spacing w:after="0" w:line="240" w:lineRule="auto"/>
              <w:rPr>
                <w:sz w:val="24"/>
                <w:szCs w:val="24"/>
              </w:rPr>
            </w:pPr>
            <w:r>
              <w:rPr>
                <w:rFonts w:ascii="Times New Roman" w:hAnsi="Times New Roman" w:cs="Times New Roman"/>
                <w:color w:val="#000000"/>
                <w:sz w:val="24"/>
                <w:szCs w:val="24"/>
              </w:rPr>
              <w:t> Аудиторские доказательства</w:t>
            </w:r>
          </w:p>
          <w:p>
            <w:pPr>
              <w:jc w:val="both"/>
              <w:spacing w:after="0" w:line="240" w:lineRule="auto"/>
              <w:rPr>
                <w:sz w:val="24"/>
                <w:szCs w:val="24"/>
              </w:rPr>
            </w:pPr>
            <w:r>
              <w:rPr>
                <w:rFonts w:ascii="Times New Roman" w:hAnsi="Times New Roman" w:cs="Times New Roman"/>
                <w:color w:val="#000000"/>
                <w:sz w:val="24"/>
                <w:szCs w:val="24"/>
              </w:rPr>
              <w:t> Система социально-экономических показателей на макро- и микроуровне</w:t>
            </w:r>
          </w:p>
          <w:p>
            <w:pPr>
              <w:jc w:val="both"/>
              <w:spacing w:after="0" w:line="240" w:lineRule="auto"/>
              <w:rPr>
                <w:sz w:val="24"/>
                <w:szCs w:val="24"/>
              </w:rPr>
            </w:pPr>
            <w:r>
              <w:rPr>
                <w:rFonts w:ascii="Times New Roman" w:hAnsi="Times New Roman" w:cs="Times New Roman"/>
                <w:color w:val="#000000"/>
                <w:sz w:val="24"/>
                <w:szCs w:val="24"/>
              </w:rPr>
              <w:t> Анализ социально-экономической информации</w:t>
            </w:r>
          </w:p>
          <w:p>
            <w:pPr>
              <w:jc w:val="both"/>
              <w:spacing w:after="0" w:line="240" w:lineRule="auto"/>
              <w:rPr>
                <w:sz w:val="24"/>
                <w:szCs w:val="24"/>
              </w:rPr>
            </w:pPr>
            <w:r>
              <w:rPr>
                <w:rFonts w:ascii="Times New Roman" w:hAnsi="Times New Roman" w:cs="Times New Roman"/>
                <w:color w:val="#000000"/>
                <w:sz w:val="24"/>
                <w:szCs w:val="24"/>
              </w:rPr>
              <w:t> Место аудита персонала в социально-экономическом аудите</w:t>
            </w:r>
          </w:p>
          <w:p>
            <w:pPr>
              <w:jc w:val="both"/>
              <w:spacing w:after="0" w:line="240" w:lineRule="auto"/>
              <w:rPr>
                <w:sz w:val="24"/>
                <w:szCs w:val="24"/>
              </w:rPr>
            </w:pPr>
            <w:r>
              <w:rPr>
                <w:rFonts w:ascii="Times New Roman" w:hAnsi="Times New Roman" w:cs="Times New Roman"/>
                <w:color w:val="#000000"/>
                <w:sz w:val="24"/>
                <w:szCs w:val="24"/>
              </w:rPr>
              <w:t> Аудит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составления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Структура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Формы предоставления аудиторского заключения (отчета) заказчику. Учет реакции объекта социально- экономического аудита на аудиторское заключение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социологических исследований как источника информации о состоянии социально-трудовой сферы</w:t>
            </w:r>
          </w:p>
          <w:p>
            <w:pPr>
              <w:jc w:val="both"/>
              <w:spacing w:after="0" w:line="240" w:lineRule="auto"/>
              <w:rPr>
                <w:sz w:val="24"/>
                <w:szCs w:val="24"/>
              </w:rPr>
            </w:pPr>
            <w:r>
              <w:rPr>
                <w:rFonts w:ascii="Times New Roman" w:hAnsi="Times New Roman" w:cs="Times New Roman"/>
                <w:color w:val="#000000"/>
                <w:sz w:val="24"/>
                <w:szCs w:val="24"/>
              </w:rPr>
              <w:t> Содержание основных методов опроса</w:t>
            </w:r>
          </w:p>
          <w:p>
            <w:pPr>
              <w:jc w:val="both"/>
              <w:spacing w:after="0" w:line="240" w:lineRule="auto"/>
              <w:rPr>
                <w:sz w:val="24"/>
                <w:szCs w:val="24"/>
              </w:rPr>
            </w:pPr>
            <w:r>
              <w:rPr>
                <w:rFonts w:ascii="Times New Roman" w:hAnsi="Times New Roman" w:cs="Times New Roman"/>
                <w:color w:val="#000000"/>
                <w:sz w:val="24"/>
                <w:szCs w:val="24"/>
              </w:rPr>
              <w:t> Интервью как метод сбора социологической информации</w:t>
            </w:r>
          </w:p>
          <w:p>
            <w:pPr>
              <w:jc w:val="both"/>
              <w:spacing w:after="0" w:line="240" w:lineRule="auto"/>
              <w:rPr>
                <w:sz w:val="24"/>
                <w:szCs w:val="24"/>
              </w:rPr>
            </w:pPr>
            <w:r>
              <w:rPr>
                <w:rFonts w:ascii="Times New Roman" w:hAnsi="Times New Roman" w:cs="Times New Roman"/>
                <w:color w:val="#000000"/>
                <w:sz w:val="24"/>
                <w:szCs w:val="24"/>
              </w:rPr>
              <w:t> Метод изучения особого мнения (экспертный опрос)</w:t>
            </w:r>
          </w:p>
          <w:p>
            <w:pPr>
              <w:jc w:val="both"/>
              <w:spacing w:after="0" w:line="240" w:lineRule="auto"/>
              <w:rPr>
                <w:sz w:val="24"/>
                <w:szCs w:val="24"/>
              </w:rPr>
            </w:pPr>
            <w:r>
              <w:rPr>
                <w:rFonts w:ascii="Times New Roman" w:hAnsi="Times New Roman" w:cs="Times New Roman"/>
                <w:color w:val="#000000"/>
                <w:sz w:val="24"/>
                <w:szCs w:val="24"/>
              </w:rPr>
              <w:t> Тесты в социологическом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Наблюдение и его роль в сборе социологической информации</w:t>
            </w:r>
          </w:p>
          <w:p>
            <w:pPr>
              <w:jc w:val="both"/>
              <w:spacing w:after="0" w:line="240" w:lineRule="auto"/>
              <w:rPr>
                <w:sz w:val="24"/>
                <w:szCs w:val="24"/>
              </w:rPr>
            </w:pPr>
            <w:r>
              <w:rPr>
                <w:rFonts w:ascii="Times New Roman" w:hAnsi="Times New Roman" w:cs="Times New Roman"/>
                <w:color w:val="#000000"/>
                <w:sz w:val="24"/>
                <w:szCs w:val="24"/>
              </w:rPr>
              <w:t> Современные технологии в сборе социологической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документов</w:t>
            </w:r>
          </w:p>
          <w:p>
            <w:pPr>
              <w:jc w:val="both"/>
              <w:spacing w:after="0" w:line="240" w:lineRule="auto"/>
              <w:rPr>
                <w:sz w:val="24"/>
                <w:szCs w:val="24"/>
              </w:rPr>
            </w:pPr>
            <w:r>
              <w:rPr>
                <w:rFonts w:ascii="Times New Roman" w:hAnsi="Times New Roman" w:cs="Times New Roman"/>
                <w:color w:val="#000000"/>
                <w:sz w:val="24"/>
                <w:szCs w:val="24"/>
              </w:rPr>
              <w:t> Методы анализа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«Аудит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http://www.iprbookshop.ru/87163.html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68.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2024-2025_ФГОС3++2024_Бак-ОФО-УП(ДОП)(24)_plx_Аудит персонала</dc:title>
  <dc:creator>FastReport.NET</dc:creator>
</cp:coreProperties>
</file>